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宋体" w:hAnsi="宋体"/>
          <w:b/>
          <w:sz w:val="24"/>
          <w:szCs w:val="24"/>
        </w:rPr>
      </w:pPr>
      <w:r>
        <w:rPr>
          <w:rFonts w:hint="eastAsia" w:ascii="宋体" w:hAnsi="宋体"/>
          <w:b/>
          <w:sz w:val="24"/>
          <w:szCs w:val="24"/>
        </w:rPr>
        <w:t>附件1：</w:t>
      </w:r>
    </w:p>
    <w:p>
      <w:pPr>
        <w:widowControl/>
        <w:tabs>
          <w:tab w:val="left" w:pos="0"/>
          <w:tab w:val="left" w:pos="1134"/>
        </w:tabs>
        <w:adjustRightInd w:val="0"/>
        <w:snapToGrid w:val="0"/>
        <w:spacing w:line="300" w:lineRule="auto"/>
        <w:ind w:firstLine="3682" w:firstLineChars="1146"/>
        <w:jc w:val="left"/>
        <w:rPr>
          <w:rFonts w:ascii="宋体" w:hAnsi="宋体"/>
          <w:b/>
          <w:snapToGrid w:val="0"/>
          <w:color w:val="000000"/>
          <w:kern w:val="0"/>
          <w:sz w:val="32"/>
          <w:szCs w:val="32"/>
        </w:rPr>
      </w:pPr>
      <w:r>
        <w:rPr>
          <w:rFonts w:hint="eastAsia" w:ascii="宋体" w:hAnsi="宋体"/>
          <w:b/>
          <w:bCs/>
          <w:color w:val="000000"/>
          <w:kern w:val="0"/>
          <w:sz w:val="32"/>
          <w:szCs w:val="32"/>
        </w:rPr>
        <w:t>评 标 细 则</w:t>
      </w:r>
    </w:p>
    <w:p>
      <w:pPr>
        <w:widowControl/>
        <w:tabs>
          <w:tab w:val="left" w:pos="0"/>
          <w:tab w:val="left" w:pos="1134"/>
        </w:tabs>
        <w:adjustRightInd w:val="0"/>
        <w:snapToGrid w:val="0"/>
        <w:spacing w:line="400" w:lineRule="exact"/>
        <w:ind w:firstLine="567"/>
        <w:jc w:val="left"/>
        <w:rPr>
          <w:rFonts w:hint="eastAsia" w:ascii="宋体" w:hAnsi="宋体"/>
          <w:b/>
          <w:bCs/>
          <w:color w:val="000000"/>
          <w:kern w:val="0"/>
          <w:sz w:val="24"/>
        </w:rPr>
      </w:pPr>
      <w:r>
        <w:rPr>
          <w:rFonts w:hint="eastAsia" w:ascii="宋体" w:hAnsi="宋体"/>
          <w:b/>
          <w:bCs/>
          <w:color w:val="000000"/>
          <w:kern w:val="0"/>
          <w:sz w:val="24"/>
        </w:rPr>
        <w:t>本工程只对经过评审确定为有效标书的投标文件进入评审，采用</w:t>
      </w:r>
      <w:r>
        <w:rPr>
          <w:rFonts w:hint="eastAsia" w:ascii="宋体" w:hAnsi="宋体" w:cs="宋体"/>
          <w:b/>
          <w:bCs/>
          <w:color w:val="000000"/>
          <w:kern w:val="0"/>
          <w:sz w:val="24"/>
          <w:szCs w:val="24"/>
        </w:rPr>
        <w:t>经评审的综合</w:t>
      </w:r>
      <w:r>
        <w:rPr>
          <w:rFonts w:hint="eastAsia" w:ascii="宋体" w:hAnsi="宋体" w:cs="宋体"/>
          <w:b/>
          <w:bCs/>
          <w:snapToGrid w:val="0"/>
          <w:color w:val="000000"/>
          <w:kern w:val="0"/>
          <w:sz w:val="24"/>
        </w:rPr>
        <w:t>评分法</w:t>
      </w:r>
      <w:r>
        <w:rPr>
          <w:rFonts w:hint="eastAsia" w:ascii="宋体" w:hAnsi="宋体"/>
          <w:b/>
          <w:color w:val="000000"/>
          <w:kern w:val="0"/>
          <w:sz w:val="24"/>
        </w:rPr>
        <w:t>评标</w:t>
      </w:r>
      <w:r>
        <w:rPr>
          <w:rFonts w:hint="eastAsia" w:ascii="宋体" w:hAnsi="宋体"/>
          <w:b/>
          <w:bCs/>
          <w:color w:val="000000"/>
          <w:kern w:val="0"/>
          <w:sz w:val="24"/>
        </w:rPr>
        <w:t>，以综合得分最高且能满足招标文件实质性要求的投标单位为中标单位：</w:t>
      </w:r>
    </w:p>
    <w:tbl>
      <w:tblPr>
        <w:tblStyle w:val="4"/>
        <w:tblpPr w:leftFromText="180" w:rightFromText="180" w:vertAnchor="text" w:horzAnchor="margin" w:tblpXSpec="center" w:tblpY="6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7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584" w:type="dxa"/>
            <w:noWrap w:val="0"/>
            <w:vAlign w:val="center"/>
          </w:tcPr>
          <w:p>
            <w:pPr>
              <w:widowControl/>
              <w:spacing w:line="240" w:lineRule="atLeast"/>
              <w:jc w:val="center"/>
              <w:rPr>
                <w:rFonts w:ascii="宋体" w:hAnsi="宋体"/>
                <w:szCs w:val="21"/>
              </w:rPr>
            </w:pPr>
            <w:r>
              <w:rPr>
                <w:rFonts w:hint="eastAsia" w:ascii="宋体" w:hAnsi="宋体"/>
                <w:szCs w:val="21"/>
              </w:rPr>
              <w:t>评审因素</w:t>
            </w:r>
          </w:p>
        </w:tc>
        <w:tc>
          <w:tcPr>
            <w:tcW w:w="7313" w:type="dxa"/>
            <w:noWrap w:val="0"/>
            <w:vAlign w:val="center"/>
          </w:tcPr>
          <w:p>
            <w:pPr>
              <w:widowControl/>
              <w:spacing w:line="240" w:lineRule="atLeast"/>
              <w:jc w:val="center"/>
              <w:rPr>
                <w:rFonts w:ascii="宋体" w:hAnsi="宋体"/>
                <w:szCs w:val="21"/>
              </w:rPr>
            </w:pPr>
            <w:r>
              <w:rPr>
                <w:rFonts w:hint="eastAsia" w:ascii="宋体" w:hAnsi="宋体"/>
                <w:szCs w:val="21"/>
              </w:rPr>
              <w:t>评审要求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84" w:type="dxa"/>
            <w:noWrap w:val="0"/>
            <w:vAlign w:val="center"/>
          </w:tcPr>
          <w:p>
            <w:pPr>
              <w:widowControl/>
              <w:spacing w:line="320" w:lineRule="atLeast"/>
              <w:jc w:val="center"/>
              <w:rPr>
                <w:rFonts w:ascii="宋体" w:hAnsi="宋体"/>
                <w:szCs w:val="21"/>
              </w:rPr>
            </w:pPr>
            <w:r>
              <w:rPr>
                <w:rFonts w:hint="eastAsia" w:ascii="宋体" w:hAnsi="宋体"/>
                <w:szCs w:val="21"/>
              </w:rPr>
              <w:t>报价（90分）</w:t>
            </w:r>
          </w:p>
        </w:tc>
        <w:tc>
          <w:tcPr>
            <w:tcW w:w="7313" w:type="dxa"/>
            <w:noWrap w:val="0"/>
            <w:vAlign w:val="center"/>
          </w:tcPr>
          <w:p>
            <w:pPr>
              <w:autoSpaceDE w:val="0"/>
              <w:autoSpaceDN w:val="0"/>
              <w:adjustRightInd w:val="0"/>
              <w:spacing w:line="320" w:lineRule="atLeast"/>
              <w:ind w:firstLine="420" w:firstLineChars="200"/>
              <w:jc w:val="left"/>
              <w:rPr>
                <w:rFonts w:hint="eastAsia" w:ascii="宋体" w:hAnsi="宋体"/>
                <w:szCs w:val="21"/>
              </w:rPr>
            </w:pPr>
            <w:r>
              <w:rPr>
                <w:rFonts w:hint="eastAsia" w:ascii="宋体" w:hAnsi="宋体"/>
                <w:szCs w:val="21"/>
              </w:rPr>
              <w:t>以有效投标文件的投标报价算术平均值为A，招标控制价为B，则评标基准价C=（A×Q1+B×Q2）×K。</w:t>
            </w:r>
          </w:p>
          <w:p>
            <w:pPr>
              <w:autoSpaceDE w:val="0"/>
              <w:autoSpaceDN w:val="0"/>
              <w:adjustRightInd w:val="0"/>
              <w:spacing w:line="320" w:lineRule="atLeast"/>
              <w:ind w:firstLine="420" w:firstLineChars="200"/>
              <w:jc w:val="left"/>
              <w:rPr>
                <w:rFonts w:hint="eastAsia" w:ascii="宋体" w:hAnsi="宋体"/>
                <w:szCs w:val="21"/>
              </w:rPr>
            </w:pPr>
            <w:r>
              <w:rPr>
                <w:rFonts w:hint="eastAsia" w:ascii="宋体" w:hAnsi="宋体"/>
                <w:szCs w:val="21"/>
              </w:rPr>
              <w:t xml:space="preserve"> Q2＝1-Q1，Q1、K值在唱标结束后，由招标人随机抽取确定，Q1的取值范围为30％，50％，70％；K的取值范围为95%、96%、97%、98%。</w:t>
            </w:r>
          </w:p>
          <w:p>
            <w:pPr>
              <w:widowControl/>
              <w:tabs>
                <w:tab w:val="left" w:pos="120"/>
                <w:tab w:val="left" w:pos="900"/>
                <w:tab w:val="left" w:pos="1080"/>
              </w:tabs>
              <w:spacing w:line="320" w:lineRule="atLeast"/>
              <w:ind w:right="21" w:firstLine="420" w:firstLineChars="200"/>
              <w:jc w:val="left"/>
              <w:rPr>
                <w:rFonts w:hint="eastAsia" w:ascii="宋体" w:hAnsi="宋体"/>
                <w:szCs w:val="21"/>
              </w:rPr>
            </w:pPr>
            <w:r>
              <w:rPr>
                <w:rFonts w:hint="eastAsia" w:ascii="宋体" w:hAnsi="宋体"/>
                <w:szCs w:val="21"/>
              </w:rPr>
              <w:t xml:space="preserve"> 注：计算算术平均值A时，若有效投标文件≥7 家时，去掉其中的1个最高价和1个最低价后取算术平均值为 A；若有效投标文件≥10 家时，去掉其中的2个最高价和2个最低价后取算术平均值为 A。</w:t>
            </w:r>
          </w:p>
          <w:p>
            <w:pPr>
              <w:widowControl/>
              <w:spacing w:line="320" w:lineRule="atLeast"/>
              <w:ind w:firstLine="315" w:firstLineChars="150"/>
              <w:jc w:val="left"/>
              <w:rPr>
                <w:rFonts w:hint="eastAsia" w:ascii="宋体" w:hAnsi="宋体"/>
                <w:szCs w:val="21"/>
              </w:rPr>
            </w:pPr>
            <w:r>
              <w:rPr>
                <w:rFonts w:hint="eastAsia" w:ascii="宋体" w:hAnsi="宋体"/>
                <w:szCs w:val="21"/>
              </w:rPr>
              <w:t>C值一经确定，在后续的评审中出现的任何情形都将不改变C值的结果。</w:t>
            </w:r>
          </w:p>
          <w:p>
            <w:pPr>
              <w:widowControl/>
              <w:tabs>
                <w:tab w:val="left" w:pos="0"/>
                <w:tab w:val="left" w:pos="1134"/>
              </w:tabs>
              <w:adjustRightInd w:val="0"/>
              <w:snapToGrid w:val="0"/>
              <w:spacing w:line="320" w:lineRule="atLeast"/>
              <w:ind w:left="480"/>
              <w:jc w:val="left"/>
              <w:rPr>
                <w:rFonts w:hint="eastAsia" w:ascii="宋体" w:hAnsi="宋体"/>
                <w:szCs w:val="21"/>
              </w:rPr>
            </w:pPr>
            <w:r>
              <w:rPr>
                <w:rFonts w:hint="eastAsia" w:ascii="宋体" w:hAnsi="宋体"/>
                <w:szCs w:val="21"/>
              </w:rPr>
              <w:t>3、计算投标误差率</w:t>
            </w:r>
          </w:p>
          <w:p>
            <w:pPr>
              <w:widowControl/>
              <w:tabs>
                <w:tab w:val="left" w:pos="1134"/>
              </w:tabs>
              <w:adjustRightInd w:val="0"/>
              <w:snapToGrid w:val="0"/>
              <w:spacing w:line="320" w:lineRule="atLeast"/>
              <w:ind w:firstLine="420" w:firstLineChars="200"/>
              <w:jc w:val="left"/>
              <w:rPr>
                <w:rFonts w:hint="eastAsia" w:ascii="宋体" w:hAnsi="宋体"/>
                <w:szCs w:val="21"/>
              </w:rPr>
            </w:pPr>
            <w:r>
              <w:rPr>
                <w:rFonts w:hint="eastAsia" w:ascii="宋体" w:hAnsi="宋体"/>
                <w:szCs w:val="21"/>
              </w:rPr>
              <w:t>投标误差率＝（投标人投标报价－评标基准价）/评标基准价*100%（取百分数小数点后2位）。</w:t>
            </w:r>
          </w:p>
          <w:p>
            <w:pPr>
              <w:widowControl/>
              <w:tabs>
                <w:tab w:val="left" w:pos="0"/>
                <w:tab w:val="left" w:pos="1134"/>
              </w:tabs>
              <w:adjustRightInd w:val="0"/>
              <w:snapToGrid w:val="0"/>
              <w:spacing w:line="320" w:lineRule="atLeast"/>
              <w:ind w:left="480"/>
              <w:jc w:val="left"/>
              <w:rPr>
                <w:rFonts w:hint="eastAsia" w:ascii="宋体" w:hAnsi="宋体"/>
                <w:szCs w:val="21"/>
              </w:rPr>
            </w:pPr>
            <w:r>
              <w:rPr>
                <w:rFonts w:hint="eastAsia" w:ascii="宋体" w:hAnsi="宋体"/>
                <w:szCs w:val="21"/>
              </w:rPr>
              <w:t>4、扣分＝投标误差率×每误差</w:t>
            </w:r>
            <w:r>
              <w:rPr>
                <w:rFonts w:ascii="宋体" w:hAnsi="宋体"/>
                <w:szCs w:val="21"/>
              </w:rPr>
              <w:t>1</w:t>
            </w:r>
            <w:r>
              <w:rPr>
                <w:rFonts w:hint="eastAsia" w:ascii="宋体" w:hAnsi="宋体"/>
                <w:szCs w:val="21"/>
              </w:rPr>
              <w:t>％的扣分值*100（</w:t>
            </w:r>
            <w:r>
              <w:rPr>
                <w:rFonts w:ascii="宋体" w:hAnsi="宋体"/>
                <w:szCs w:val="21"/>
              </w:rPr>
              <w:t>1</w:t>
            </w:r>
            <w:r>
              <w:rPr>
                <w:rFonts w:hint="eastAsia" w:ascii="宋体" w:hAnsi="宋体"/>
                <w:szCs w:val="21"/>
              </w:rPr>
              <w:t>％以内用插入法）。</w:t>
            </w:r>
          </w:p>
          <w:p>
            <w:pPr>
              <w:widowControl/>
              <w:tabs>
                <w:tab w:val="left" w:pos="0"/>
                <w:tab w:val="left" w:pos="1134"/>
              </w:tabs>
              <w:adjustRightInd w:val="0"/>
              <w:snapToGrid w:val="0"/>
              <w:spacing w:line="320" w:lineRule="atLeast"/>
              <w:jc w:val="left"/>
              <w:rPr>
                <w:rFonts w:hint="eastAsia" w:ascii="宋体" w:hAnsi="宋体"/>
                <w:szCs w:val="21"/>
              </w:rPr>
            </w:pPr>
            <w:r>
              <w:rPr>
                <w:rFonts w:hint="eastAsia" w:ascii="宋体" w:hAnsi="宋体"/>
                <w:szCs w:val="21"/>
              </w:rPr>
              <w:t>每误差＋</w:t>
            </w:r>
            <w:r>
              <w:rPr>
                <w:rFonts w:ascii="宋体" w:hAnsi="宋体"/>
                <w:szCs w:val="21"/>
              </w:rPr>
              <w:t>1</w:t>
            </w:r>
            <w:r>
              <w:rPr>
                <w:rFonts w:hint="eastAsia" w:ascii="宋体" w:hAnsi="宋体"/>
                <w:szCs w:val="21"/>
              </w:rPr>
              <w:t>％扣0.5分，每误差－</w:t>
            </w:r>
            <w:r>
              <w:rPr>
                <w:rFonts w:ascii="宋体" w:hAnsi="宋体"/>
                <w:szCs w:val="21"/>
              </w:rPr>
              <w:t>1</w:t>
            </w:r>
            <w:r>
              <w:rPr>
                <w:rFonts w:hint="eastAsia" w:ascii="宋体" w:hAnsi="宋体"/>
                <w:szCs w:val="21"/>
              </w:rPr>
              <w:t>％扣0.5分。</w:t>
            </w:r>
          </w:p>
          <w:p>
            <w:pPr>
              <w:widowControl/>
              <w:numPr>
                <w:ilvl w:val="0"/>
                <w:numId w:val="1"/>
              </w:numPr>
              <w:tabs>
                <w:tab w:val="left" w:pos="0"/>
                <w:tab w:val="left" w:pos="1134"/>
              </w:tabs>
              <w:adjustRightInd w:val="0"/>
              <w:snapToGrid w:val="0"/>
              <w:spacing w:line="320" w:lineRule="atLeast"/>
              <w:ind w:left="480"/>
              <w:jc w:val="left"/>
              <w:rPr>
                <w:rFonts w:ascii="宋体" w:hAnsi="宋体"/>
                <w:szCs w:val="21"/>
              </w:rPr>
            </w:pPr>
            <w:r>
              <w:rPr>
                <w:rFonts w:hint="eastAsia" w:ascii="宋体" w:hAnsi="宋体"/>
                <w:szCs w:val="21"/>
              </w:rPr>
              <w:t>投标报价得分=90分－投标报价扣分值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84" w:type="dxa"/>
            <w:noWrap w:val="0"/>
            <w:vAlign w:val="center"/>
          </w:tcPr>
          <w:p>
            <w:pPr>
              <w:widowControl/>
              <w:spacing w:line="320" w:lineRule="atLeast"/>
              <w:jc w:val="left"/>
              <w:rPr>
                <w:rFonts w:ascii="宋体" w:hAnsi="宋体"/>
                <w:szCs w:val="21"/>
              </w:rPr>
            </w:pPr>
            <w:r>
              <w:rPr>
                <w:rFonts w:hint="eastAsia" w:ascii="宋体" w:hAnsi="宋体"/>
                <w:szCs w:val="21"/>
              </w:rPr>
              <w:t>文明施工保障措施及工期保证措施</w:t>
            </w:r>
          </w:p>
          <w:p>
            <w:pPr>
              <w:widowControl/>
              <w:spacing w:line="320" w:lineRule="atLeast"/>
              <w:jc w:val="center"/>
              <w:rPr>
                <w:rFonts w:ascii="宋体" w:hAnsi="宋体"/>
                <w:szCs w:val="21"/>
              </w:rPr>
            </w:pPr>
            <w:r>
              <w:rPr>
                <w:rFonts w:hint="eastAsia" w:ascii="宋体" w:hAnsi="宋体"/>
                <w:szCs w:val="21"/>
              </w:rPr>
              <w:t>（7分）</w:t>
            </w:r>
          </w:p>
        </w:tc>
        <w:tc>
          <w:tcPr>
            <w:tcW w:w="7313" w:type="dxa"/>
            <w:noWrap w:val="0"/>
            <w:vAlign w:val="center"/>
          </w:tcPr>
          <w:p>
            <w:pPr>
              <w:widowControl/>
              <w:spacing w:line="320" w:lineRule="atLeast"/>
              <w:jc w:val="left"/>
              <w:rPr>
                <w:rFonts w:ascii="宋体" w:hAnsi="宋体"/>
                <w:szCs w:val="21"/>
              </w:rPr>
            </w:pPr>
            <w:r>
              <w:rPr>
                <w:rFonts w:hint="eastAsia" w:ascii="宋体" w:hAnsi="宋体"/>
                <w:szCs w:val="21"/>
              </w:rPr>
              <w:t>结合在学生学习区施工的实际，文明施工保障措施完善，能有效缩短工期的有效方案，评委酌情打分（0-7分）。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84" w:type="dxa"/>
            <w:noWrap w:val="0"/>
            <w:vAlign w:val="center"/>
          </w:tcPr>
          <w:p>
            <w:pPr>
              <w:widowControl/>
              <w:spacing w:line="320" w:lineRule="atLeast"/>
              <w:jc w:val="center"/>
              <w:rPr>
                <w:rFonts w:ascii="宋体" w:hAnsi="宋体"/>
                <w:szCs w:val="21"/>
              </w:rPr>
            </w:pPr>
            <w:r>
              <w:rPr>
                <w:rFonts w:hint="eastAsia" w:ascii="宋体" w:hAnsi="宋体"/>
                <w:szCs w:val="21"/>
              </w:rPr>
              <w:t>总体评价</w:t>
            </w:r>
          </w:p>
          <w:p>
            <w:pPr>
              <w:widowControl/>
              <w:spacing w:line="320" w:lineRule="atLeast"/>
              <w:jc w:val="center"/>
              <w:rPr>
                <w:rFonts w:ascii="宋体" w:hAnsi="宋体"/>
                <w:szCs w:val="21"/>
              </w:rPr>
            </w:pPr>
            <w:r>
              <w:rPr>
                <w:rFonts w:hint="eastAsia" w:ascii="宋体" w:hAnsi="宋体"/>
                <w:szCs w:val="21"/>
              </w:rPr>
              <w:t>（3分）</w:t>
            </w:r>
          </w:p>
        </w:tc>
        <w:tc>
          <w:tcPr>
            <w:tcW w:w="7313" w:type="dxa"/>
            <w:noWrap w:val="0"/>
            <w:vAlign w:val="center"/>
          </w:tcPr>
          <w:p>
            <w:pPr>
              <w:widowControl/>
              <w:spacing w:line="320" w:lineRule="atLeast"/>
              <w:jc w:val="left"/>
              <w:rPr>
                <w:rFonts w:ascii="宋体" w:hAnsi="宋体"/>
                <w:szCs w:val="21"/>
              </w:rPr>
            </w:pPr>
            <w:r>
              <w:rPr>
                <w:rFonts w:hint="eastAsia" w:ascii="宋体" w:hAnsi="宋体"/>
                <w:szCs w:val="21"/>
              </w:rPr>
              <w:t>经评审小组对供应商及标书制作情况进行综合评价，评委酌情打分（0-3分）。</w:t>
            </w:r>
          </w:p>
        </w:tc>
      </w:tr>
    </w:tbl>
    <w:p>
      <w:pPr>
        <w:spacing w:line="380" w:lineRule="exact"/>
        <w:ind w:firstLine="420" w:firstLineChars="200"/>
        <w:rPr>
          <w:rFonts w:hint="eastAsia" w:ascii="宋体" w:hAnsi="宋体"/>
          <w:szCs w:val="21"/>
        </w:rPr>
      </w:pPr>
      <w:r>
        <w:rPr>
          <w:rFonts w:hint="eastAsia" w:ascii="宋体" w:hAnsi="宋体"/>
          <w:szCs w:val="21"/>
        </w:rPr>
        <w:t>1、评标总分最高者为第一中标候选人。若最高得分相同，则选择其中投标报价低者为第一中标候选人；若最高得分相同，投标报价也相同，则由最高得分的投标单位进行抽签。先抽顺序签，按所抽顺序签由小到大的顺序再抽“有”“无”签，抽到“有”的投标单位即确定为第一中标候选人。</w:t>
      </w:r>
    </w:p>
    <w:p>
      <w:pPr>
        <w:spacing w:line="380" w:lineRule="exact"/>
        <w:ind w:firstLine="420" w:firstLineChars="200"/>
        <w:rPr>
          <w:rFonts w:ascii="宋体" w:hAnsi="宋体"/>
          <w:szCs w:val="21"/>
        </w:rPr>
      </w:pPr>
      <w:r>
        <w:rPr>
          <w:rFonts w:ascii="宋体" w:hAnsi="宋体"/>
          <w:szCs w:val="21"/>
        </w:rPr>
        <w:t xml:space="preserve">注意事项： </w:t>
      </w:r>
    </w:p>
    <w:p>
      <w:pPr>
        <w:spacing w:line="380" w:lineRule="exact"/>
        <w:ind w:firstLine="420" w:firstLineChars="200"/>
        <w:rPr>
          <w:rFonts w:ascii="宋体" w:hAnsi="宋体"/>
          <w:szCs w:val="21"/>
        </w:rPr>
      </w:pPr>
      <w:r>
        <w:rPr>
          <w:rFonts w:ascii="宋体" w:hAnsi="宋体"/>
          <w:szCs w:val="21"/>
        </w:rPr>
        <w:t xml:space="preserve">1、一旦发现中标候选单位的投标注册建造师已有在建或已另有工程中标的，则取消其中标候选人资格，同时按相关法律、法规处罚。 </w:t>
      </w:r>
    </w:p>
    <w:p>
      <w:pPr>
        <w:spacing w:line="380" w:lineRule="exact"/>
        <w:ind w:firstLine="420" w:firstLineChars="200"/>
        <w:rPr>
          <w:rFonts w:ascii="宋体" w:hAnsi="宋体"/>
          <w:szCs w:val="21"/>
        </w:rPr>
      </w:pPr>
      <w:r>
        <w:rPr>
          <w:rFonts w:ascii="宋体" w:hAnsi="宋体"/>
          <w:szCs w:val="21"/>
        </w:rPr>
        <w:t xml:space="preserve">2、一旦发现中标单位存在非法转包、转让、挂靠等行为的，将依法进行处理 ，给招标人造成损失的，依法承担赔偿责任。 </w:t>
      </w:r>
    </w:p>
    <w:p>
      <w:pPr>
        <w:adjustRightInd w:val="0"/>
        <w:snapToGrid w:val="0"/>
        <w:spacing w:line="300" w:lineRule="auto"/>
        <w:ind w:firstLine="420" w:firstLineChars="200"/>
        <w:rPr>
          <w:rFonts w:hint="eastAsia" w:ascii="宋体" w:hAnsi="宋体"/>
          <w:szCs w:val="21"/>
        </w:rPr>
      </w:pPr>
      <w:r>
        <w:rPr>
          <w:rFonts w:ascii="宋体" w:hAnsi="宋体"/>
          <w:szCs w:val="21"/>
        </w:rPr>
        <w:t>3、本工程招标公告中的评标办法与招标文件中的评标办法不一致时，以招标公告中的评标办法为准。</w:t>
      </w: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ascii="宋体" w:hAnsi="宋体"/>
          <w:b/>
          <w:lang w:val="zh-CN"/>
        </w:rPr>
      </w:pPr>
      <w:r>
        <w:rPr>
          <w:rFonts w:hint="eastAsia" w:ascii="宋体" w:hAnsi="宋体"/>
          <w:b/>
          <w:lang w:val="zh-CN"/>
        </w:rPr>
        <w:t>附件2：</w:t>
      </w:r>
    </w:p>
    <w:p>
      <w:pPr>
        <w:adjustRightInd w:val="0"/>
        <w:snapToGrid w:val="0"/>
        <w:spacing w:line="300" w:lineRule="auto"/>
        <w:jc w:val="center"/>
        <w:rPr>
          <w:rFonts w:ascii="仿宋" w:hAnsi="仿宋" w:eastAsia="仿宋"/>
          <w:b/>
          <w:bCs/>
          <w:sz w:val="28"/>
          <w:szCs w:val="28"/>
        </w:rPr>
      </w:pPr>
      <w:r>
        <w:rPr>
          <w:rFonts w:hint="eastAsia" w:ascii="仿宋" w:hAnsi="仿宋" w:eastAsia="仿宋" w:cs="Arial"/>
          <w:b/>
          <w:bCs/>
          <w:kern w:val="0"/>
          <w:sz w:val="28"/>
          <w:szCs w:val="28"/>
        </w:rPr>
        <w:t>常州市新北区新桥镇建设工程关于缴纳招投标保证金的有关事宜</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投标单位必须将投标保证金按下列所写明金额、时间、地点和方式交招标人。</w:t>
      </w:r>
      <w:r>
        <w:rPr>
          <w:rFonts w:ascii="宋体" w:hAnsi="宋体" w:cs="Arial"/>
          <w:kern w:val="0"/>
          <w:szCs w:val="21"/>
        </w:rPr>
        <w:t>缴纳建设工程招投标保证金的有关</w:t>
      </w:r>
      <w:r>
        <w:rPr>
          <w:rFonts w:hint="eastAsia" w:ascii="宋体" w:hAnsi="宋体" w:cs="Arial"/>
          <w:kern w:val="0"/>
          <w:szCs w:val="21"/>
        </w:rPr>
        <w:t>事项</w:t>
      </w:r>
      <w:r>
        <w:rPr>
          <w:rFonts w:ascii="宋体" w:hAnsi="宋体" w:cs="Arial"/>
          <w:kern w:val="0"/>
          <w:szCs w:val="21"/>
        </w:rPr>
        <w:t>如下：</w:t>
      </w:r>
    </w:p>
    <w:p>
      <w:pPr>
        <w:spacing w:line="360" w:lineRule="auto"/>
        <w:ind w:firstLine="424" w:firstLineChars="202"/>
        <w:rPr>
          <w:rFonts w:ascii="宋体" w:hAnsi="宋体" w:cs="Arial"/>
          <w:szCs w:val="21"/>
        </w:rPr>
      </w:pPr>
      <w:r>
        <w:rPr>
          <w:rFonts w:hint="eastAsia" w:ascii="宋体" w:hAnsi="宋体" w:cs="Arial"/>
          <w:szCs w:val="21"/>
        </w:rPr>
        <w:t>（1）投标保证金专用账户</w:t>
      </w:r>
    </w:p>
    <w:p>
      <w:pPr>
        <w:spacing w:line="360" w:lineRule="auto"/>
        <w:ind w:firstLine="424" w:firstLineChars="202"/>
        <w:rPr>
          <w:rFonts w:hint="eastAsia" w:ascii="宋体" w:hAnsi="宋体" w:cs="Arial"/>
          <w:szCs w:val="21"/>
        </w:rPr>
      </w:pPr>
      <w:r>
        <w:rPr>
          <w:rFonts w:hint="eastAsia" w:ascii="宋体" w:hAnsi="宋体" w:cs="Arial"/>
          <w:szCs w:val="21"/>
        </w:rPr>
        <w:t xml:space="preserve">2、户名：  江苏嘉加诚工程投资咨询有限公司常州分公司                                   </w:t>
      </w:r>
    </w:p>
    <w:p>
      <w:pPr>
        <w:spacing w:line="360" w:lineRule="auto"/>
        <w:ind w:firstLine="424" w:firstLineChars="202"/>
        <w:rPr>
          <w:rFonts w:hint="eastAsia" w:ascii="宋体" w:hAnsi="宋体" w:cs="Arial"/>
          <w:szCs w:val="21"/>
        </w:rPr>
      </w:pPr>
      <w:r>
        <w:rPr>
          <w:rFonts w:hint="eastAsia" w:ascii="宋体" w:hAnsi="宋体" w:cs="Arial"/>
          <w:szCs w:val="21"/>
        </w:rPr>
        <w:t>账号： 1032000000001429</w:t>
      </w:r>
    </w:p>
    <w:p>
      <w:pPr>
        <w:spacing w:line="360" w:lineRule="auto"/>
        <w:ind w:firstLine="424" w:firstLineChars="202"/>
        <w:rPr>
          <w:rFonts w:ascii="宋体" w:hAnsi="宋体" w:cs="Arial"/>
          <w:szCs w:val="21"/>
        </w:rPr>
      </w:pPr>
      <w:r>
        <w:rPr>
          <w:rFonts w:hint="eastAsia" w:ascii="宋体" w:hAnsi="宋体" w:cs="Arial"/>
          <w:szCs w:val="21"/>
        </w:rPr>
        <w:t>开户银行：江苏江南农村商业银行股份有限公司常州市武进支行</w:t>
      </w:r>
    </w:p>
    <w:p>
      <w:pPr>
        <w:spacing w:line="360" w:lineRule="auto"/>
        <w:ind w:firstLine="426" w:firstLineChars="202"/>
        <w:rPr>
          <w:rFonts w:ascii="宋体" w:hAnsi="宋体"/>
          <w:b/>
          <w:szCs w:val="21"/>
          <w:u w:val="single"/>
        </w:rPr>
      </w:pPr>
      <w:r>
        <w:rPr>
          <w:rFonts w:hint="eastAsia" w:ascii="宋体" w:hAnsi="宋体" w:cs="Arial"/>
          <w:b/>
          <w:kern w:val="0"/>
          <w:szCs w:val="21"/>
          <w:u w:val="single"/>
        </w:rPr>
        <w:t>该项目投标保证金数额：</w:t>
      </w:r>
      <w:r>
        <w:rPr>
          <w:rFonts w:hint="eastAsia" w:ascii="宋体" w:hAnsi="宋体" w:cs="Arial"/>
          <w:b/>
          <w:color w:val="000000"/>
          <w:kern w:val="0"/>
          <w:szCs w:val="21"/>
          <w:u w:val="single"/>
        </w:rPr>
        <w:t>壹万伍仟元整</w:t>
      </w:r>
    </w:p>
    <w:p>
      <w:pPr>
        <w:widowControl/>
        <w:spacing w:line="360" w:lineRule="auto"/>
        <w:ind w:firstLine="424" w:firstLineChars="202"/>
        <w:jc w:val="left"/>
        <w:rPr>
          <w:rFonts w:ascii="宋体" w:hAnsi="宋体" w:cs="Arial"/>
          <w:kern w:val="0"/>
          <w:szCs w:val="21"/>
        </w:rPr>
      </w:pPr>
      <w:r>
        <w:rPr>
          <w:rFonts w:ascii="宋体" w:hAnsi="宋体" w:cs="Arial"/>
          <w:kern w:val="0"/>
          <w:szCs w:val="21"/>
        </w:rPr>
        <w:t>（</w:t>
      </w:r>
      <w:r>
        <w:rPr>
          <w:rFonts w:hint="eastAsia" w:ascii="宋体" w:hAnsi="宋体" w:cs="Arial"/>
          <w:kern w:val="0"/>
          <w:szCs w:val="21"/>
        </w:rPr>
        <w:t>2</w:t>
      </w:r>
      <w:r>
        <w:rPr>
          <w:rFonts w:ascii="宋体" w:hAnsi="宋体" w:cs="Arial"/>
          <w:kern w:val="0"/>
          <w:szCs w:val="21"/>
        </w:rPr>
        <w:t>）投标保证金缴纳方式</w:t>
      </w:r>
    </w:p>
    <w:p>
      <w:pPr>
        <w:pStyle w:val="2"/>
        <w:overflowPunct w:val="0"/>
        <w:spacing w:line="360" w:lineRule="auto"/>
        <w:rPr>
          <w:rFonts w:ascii="宋体" w:hAnsi="宋体" w:cs="Arial"/>
          <w:kern w:val="0"/>
          <w:szCs w:val="21"/>
        </w:rPr>
      </w:pPr>
      <w:r>
        <w:rPr>
          <w:rFonts w:ascii="宋体" w:hAnsi="宋体" w:cs="Arial"/>
          <w:kern w:val="0"/>
          <w:szCs w:val="21"/>
        </w:rPr>
        <w:t xml:space="preserve">投标单位必须用转账支票、电汇、网上银行及银行汇票等方式（不接受现金）自行将保证金从基本账户解进到保证金专用账户。（投标人缴纳投标保证金时应充分考虑保证金的进账时间，若因投标人缴纳不及时未能及时到账的由投标人自行负责） </w:t>
      </w:r>
    </w:p>
    <w:p>
      <w:pPr>
        <w:pStyle w:val="2"/>
        <w:overflowPunct w:val="0"/>
        <w:spacing w:line="360" w:lineRule="auto"/>
        <w:rPr>
          <w:rFonts w:ascii="宋体" w:hAnsi="宋体" w:cs="Arial"/>
          <w:kern w:val="0"/>
          <w:szCs w:val="21"/>
        </w:rPr>
      </w:pPr>
      <w:r>
        <w:rPr>
          <w:rFonts w:ascii="宋体" w:hAnsi="宋体" w:cs="Arial"/>
          <w:kern w:val="0"/>
          <w:szCs w:val="21"/>
        </w:rPr>
        <w:t xml:space="preserve">（3）投标人在缴纳保证金时必须在转账支票、电汇单等票面的用途栏上写明工程名称并注明用途为“投标保证金”，进账单上必须注明票据号码。 </w:t>
      </w:r>
    </w:p>
    <w:p>
      <w:pPr>
        <w:pStyle w:val="2"/>
        <w:overflowPunct w:val="0"/>
        <w:spacing w:line="360" w:lineRule="auto"/>
        <w:rPr>
          <w:rFonts w:ascii="宋体" w:hAnsi="宋体" w:cs="Arial"/>
          <w:kern w:val="0"/>
          <w:szCs w:val="21"/>
        </w:rPr>
      </w:pPr>
      <w:r>
        <w:rPr>
          <w:rFonts w:ascii="宋体" w:hAnsi="宋体" w:cs="Arial"/>
          <w:kern w:val="0"/>
          <w:szCs w:val="21"/>
        </w:rPr>
        <w:t xml:space="preserve">（4）缴纳保证金注意事项：资格预审的投标保证金到账截止时间为报名、资格预审前，资格后审的投标保证金到账截止时间为开标日的前一个工作日16:00前到账。任何未按上述规定缴纳投标保证金的资格审查申请人将按资审不合格处理。 </w:t>
      </w:r>
    </w:p>
    <w:p>
      <w:pPr>
        <w:pStyle w:val="2"/>
        <w:overflowPunct w:val="0"/>
        <w:spacing w:line="360" w:lineRule="auto"/>
        <w:rPr>
          <w:rFonts w:ascii="宋体" w:hAnsi="宋体" w:cs="Arial"/>
          <w:kern w:val="0"/>
          <w:szCs w:val="21"/>
        </w:rPr>
      </w:pPr>
      <w:r>
        <w:rPr>
          <w:rFonts w:ascii="宋体" w:hAnsi="宋体" w:cs="Arial"/>
          <w:kern w:val="0"/>
          <w:szCs w:val="21"/>
        </w:rPr>
        <w:t xml:space="preserve">（5）投标保证金的退还时间：未获得投标资格的报名单位在资格预审结果公示结束且无异议后五个工作日内退还至打款账户；除排序前三名的中标候选人以外的其他投标单位在中标结果公示结束且无异议后的五个工作日内退还；排序前三名的中标候选人在施工合同备案后的五个工作日内退还。 </w:t>
      </w:r>
    </w:p>
    <w:p>
      <w:pPr>
        <w:pStyle w:val="2"/>
        <w:overflowPunct w:val="0"/>
        <w:spacing w:line="360" w:lineRule="auto"/>
        <w:rPr>
          <w:rFonts w:ascii="宋体" w:hAnsi="宋体" w:cs="Arial"/>
          <w:kern w:val="0"/>
          <w:szCs w:val="21"/>
        </w:rPr>
      </w:pPr>
      <w:r>
        <w:rPr>
          <w:rFonts w:ascii="宋体" w:hAnsi="宋体" w:cs="Arial"/>
          <w:kern w:val="0"/>
          <w:szCs w:val="21"/>
        </w:rPr>
        <w:t xml:space="preserve">（7）投标保证金退还方式：通过网上银行直接退还至原缴纳账户。 </w:t>
      </w:r>
    </w:p>
    <w:p>
      <w:pPr>
        <w:pStyle w:val="2"/>
        <w:overflowPunct w:val="0"/>
        <w:spacing w:line="360" w:lineRule="auto"/>
        <w:rPr>
          <w:rFonts w:hint="eastAsia" w:ascii="宋体" w:hAnsi="宋体" w:cs="Arial"/>
          <w:b/>
          <w:bCs/>
          <w:szCs w:val="21"/>
        </w:rPr>
      </w:pPr>
      <w:r>
        <w:rPr>
          <w:rFonts w:hint="eastAsia" w:ascii="宋体" w:hAnsi="宋体" w:cs="Arial"/>
          <w:kern w:val="0"/>
          <w:szCs w:val="21"/>
        </w:rPr>
        <w:t xml:space="preserve"> </w:t>
      </w:r>
      <w:r>
        <w:rPr>
          <w:rFonts w:ascii="宋体" w:hAnsi="宋体" w:cs="Arial"/>
          <w:kern w:val="0"/>
          <w:szCs w:val="21"/>
        </w:rPr>
        <w:t xml:space="preserve">   </w:t>
      </w:r>
      <w:r>
        <w:rPr>
          <w:rFonts w:hint="eastAsia" w:ascii="宋体" w:hAnsi="宋体" w:cs="Arial"/>
          <w:kern w:val="0"/>
          <w:szCs w:val="21"/>
        </w:rPr>
        <w:t xml:space="preserve"> 投标保证金咨询电话</w:t>
      </w:r>
      <w:r>
        <w:rPr>
          <w:rFonts w:hint="eastAsia" w:ascii="宋体" w:hAnsi="宋体" w:cs="Arial"/>
          <w:b/>
          <w:bCs/>
          <w:szCs w:val="21"/>
        </w:rPr>
        <w:t>：</w:t>
      </w:r>
      <w:r>
        <w:rPr>
          <w:rFonts w:ascii="宋体" w:hAnsi="宋体" w:cs="Arial"/>
          <w:b/>
          <w:bCs/>
          <w:szCs w:val="21"/>
        </w:rPr>
        <w:t xml:space="preserve">0519-88887808    </w:t>
      </w:r>
      <w:r>
        <w:rPr>
          <w:rFonts w:hint="eastAsia" w:ascii="宋体" w:hAnsi="宋体" w:cs="Arial"/>
          <w:b/>
          <w:bCs/>
          <w:szCs w:val="21"/>
        </w:rPr>
        <w:t xml:space="preserve">王镜 </w:t>
      </w:r>
    </w:p>
    <w:p>
      <w:pPr>
        <w:spacing w:line="400" w:lineRule="exact"/>
        <w:rPr>
          <w:rFonts w:hint="eastAsia" w:ascii="宋体" w:hAnsi="宋体"/>
          <w:b/>
          <w:sz w:val="24"/>
          <w:szCs w:val="24"/>
        </w:rPr>
      </w:pPr>
    </w:p>
    <w:p>
      <w:pPr>
        <w:spacing w:line="400" w:lineRule="exact"/>
        <w:rPr>
          <w:rFonts w:hint="eastAsia" w:ascii="宋体" w:hAnsi="宋体"/>
          <w:b/>
          <w:sz w:val="24"/>
          <w:szCs w:val="24"/>
        </w:rPr>
      </w:pPr>
    </w:p>
    <w:p>
      <w:pPr>
        <w:spacing w:line="400" w:lineRule="exact"/>
        <w:rPr>
          <w:rFonts w:hint="eastAsia" w:ascii="宋体" w:hAnsi="宋体"/>
          <w:b/>
          <w:sz w:val="24"/>
          <w:szCs w:val="24"/>
        </w:rPr>
      </w:pPr>
    </w:p>
    <w:p>
      <w:pPr>
        <w:spacing w:line="400" w:lineRule="exact"/>
        <w:rPr>
          <w:rFonts w:hint="eastAsia" w:ascii="宋体" w:hAnsi="宋体"/>
          <w:b/>
          <w:sz w:val="24"/>
          <w:szCs w:val="24"/>
        </w:rPr>
      </w:pPr>
    </w:p>
    <w:p>
      <w:pPr>
        <w:spacing w:line="400" w:lineRule="exact"/>
        <w:rPr>
          <w:rFonts w:hint="eastAsia" w:ascii="宋体" w:hAnsi="宋体"/>
          <w:b/>
          <w:sz w:val="24"/>
          <w:szCs w:val="24"/>
        </w:rPr>
      </w:pPr>
    </w:p>
    <w:p>
      <w:pPr>
        <w:spacing w:line="400" w:lineRule="exact"/>
        <w:rPr>
          <w:rFonts w:hint="eastAsia" w:ascii="宋体" w:hAnsi="宋体"/>
          <w:b/>
          <w:sz w:val="24"/>
          <w:szCs w:val="24"/>
        </w:rPr>
      </w:pPr>
    </w:p>
    <w:p>
      <w:pPr>
        <w:spacing w:line="400" w:lineRule="exact"/>
        <w:rPr>
          <w:rFonts w:hint="eastAsia" w:ascii="宋体" w:hAnsi="宋体"/>
          <w:b/>
          <w:sz w:val="24"/>
          <w:szCs w:val="24"/>
        </w:rPr>
      </w:pPr>
    </w:p>
    <w:p>
      <w:pPr>
        <w:spacing w:line="400" w:lineRule="exact"/>
        <w:rPr>
          <w:rFonts w:hint="eastAsia" w:ascii="宋体" w:hAnsi="宋体"/>
          <w:b/>
          <w:sz w:val="24"/>
          <w:szCs w:val="24"/>
        </w:rPr>
      </w:pPr>
    </w:p>
    <w:p>
      <w:pPr>
        <w:spacing w:line="400" w:lineRule="exact"/>
        <w:rPr>
          <w:rFonts w:hint="eastAsia" w:ascii="宋体" w:hAnsi="宋体"/>
          <w:b/>
          <w:sz w:val="24"/>
          <w:szCs w:val="24"/>
        </w:rPr>
      </w:pPr>
      <w:r>
        <w:rPr>
          <w:rFonts w:hint="eastAsia" w:ascii="宋体" w:hAnsi="宋体"/>
          <w:b/>
          <w:sz w:val="24"/>
          <w:szCs w:val="24"/>
        </w:rPr>
        <w:t>附件3：</w:t>
      </w:r>
    </w:p>
    <w:p>
      <w:pPr>
        <w:spacing w:line="560" w:lineRule="exact"/>
        <w:jc w:val="center"/>
        <w:rPr>
          <w:rFonts w:hint="eastAsia" w:ascii="宋体" w:hAnsi="宋体"/>
          <w:b/>
          <w:color w:val="000000"/>
          <w:sz w:val="44"/>
          <w:szCs w:val="44"/>
        </w:rPr>
      </w:pPr>
      <w:r>
        <w:rPr>
          <w:rFonts w:hint="eastAsia" w:ascii="宋体" w:hAnsi="宋体"/>
          <w:b/>
          <w:color w:val="000000"/>
          <w:sz w:val="44"/>
          <w:szCs w:val="44"/>
        </w:rPr>
        <w:t>零星工程投标报名表</w:t>
      </w:r>
    </w:p>
    <w:tbl>
      <w:tblPr>
        <w:tblStyle w:val="4"/>
        <w:tblW w:w="0" w:type="auto"/>
        <w:tblInd w:w="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15"/>
        <w:gridCol w:w="14"/>
        <w:gridCol w:w="68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trPr>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招标单位</w:t>
            </w:r>
          </w:p>
        </w:tc>
        <w:tc>
          <w:tcPr>
            <w:tcW w:w="68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trPr>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项目名称</w:t>
            </w:r>
          </w:p>
        </w:tc>
        <w:tc>
          <w:tcPr>
            <w:tcW w:w="68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trPr>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项目地址</w:t>
            </w:r>
          </w:p>
        </w:tc>
        <w:tc>
          <w:tcPr>
            <w:tcW w:w="68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5" w:hRule="atLeast"/>
        </w:trPr>
        <w:tc>
          <w:tcPr>
            <w:tcW w:w="9338"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投标单位报名情况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5" w:hRule="atLeast"/>
        </w:trPr>
        <w:tc>
          <w:tcPr>
            <w:tcW w:w="2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投标单位（盖章）</w:t>
            </w:r>
          </w:p>
        </w:tc>
        <w:tc>
          <w:tcPr>
            <w:tcW w:w="682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09" w:hRule="atLeast"/>
        </w:trPr>
        <w:tc>
          <w:tcPr>
            <w:tcW w:w="2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法定代表人（签章）</w:t>
            </w:r>
          </w:p>
        </w:tc>
        <w:tc>
          <w:tcPr>
            <w:tcW w:w="682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89" w:hRule="atLeast"/>
        </w:trPr>
        <w:tc>
          <w:tcPr>
            <w:tcW w:w="2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报名建造师</w:t>
            </w:r>
          </w:p>
        </w:tc>
        <w:tc>
          <w:tcPr>
            <w:tcW w:w="682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83" w:hRule="atLeast"/>
        </w:trPr>
        <w:tc>
          <w:tcPr>
            <w:tcW w:w="2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投标委托人</w:t>
            </w:r>
          </w:p>
        </w:tc>
        <w:tc>
          <w:tcPr>
            <w:tcW w:w="682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7" w:hRule="atLeast"/>
        </w:trPr>
        <w:tc>
          <w:tcPr>
            <w:tcW w:w="2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联系电话</w:t>
            </w:r>
          </w:p>
        </w:tc>
        <w:tc>
          <w:tcPr>
            <w:tcW w:w="682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13" w:hRule="atLeast"/>
        </w:trPr>
        <w:tc>
          <w:tcPr>
            <w:tcW w:w="2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电子邮箱</w:t>
            </w:r>
          </w:p>
        </w:tc>
        <w:tc>
          <w:tcPr>
            <w:tcW w:w="682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48" w:hRule="atLeast"/>
        </w:trPr>
        <w:tc>
          <w:tcPr>
            <w:tcW w:w="2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投标报名时间</w:t>
            </w:r>
          </w:p>
        </w:tc>
        <w:tc>
          <w:tcPr>
            <w:tcW w:w="682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68" w:hRule="atLeast"/>
        </w:trPr>
        <w:tc>
          <w:tcPr>
            <w:tcW w:w="2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投标报名接受人</w:t>
            </w:r>
          </w:p>
          <w:p>
            <w:pPr>
              <w:autoSpaceDE w:val="0"/>
              <w:autoSpaceDN w:val="0"/>
              <w:spacing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审查意见</w:t>
            </w:r>
          </w:p>
        </w:tc>
        <w:tc>
          <w:tcPr>
            <w:tcW w:w="682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kern w:val="0"/>
                <w:sz w:val="24"/>
                <w:szCs w:val="24"/>
              </w:rPr>
            </w:pPr>
          </w:p>
          <w:p>
            <w:pPr>
              <w:autoSpaceDE w:val="0"/>
              <w:autoSpaceDN w:val="0"/>
              <w:spacing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审查人签名：       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63" w:hRule="atLeast"/>
        </w:trPr>
        <w:tc>
          <w:tcPr>
            <w:tcW w:w="2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备  注</w:t>
            </w:r>
          </w:p>
        </w:tc>
        <w:tc>
          <w:tcPr>
            <w:tcW w:w="682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1．投标报名人应如实填写；</w:t>
            </w:r>
          </w:p>
          <w:p>
            <w:pPr>
              <w:autoSpaceDE w:val="0"/>
              <w:autoSpaceDN w:val="0"/>
              <w:spacing w:line="56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2．投标报名结束后，招标人应当进行汇总并报送镇招标办备案。</w:t>
            </w:r>
          </w:p>
        </w:tc>
      </w:tr>
    </w:tbl>
    <w:p>
      <w:pPr>
        <w:spacing w:line="0" w:lineRule="atLeast"/>
        <w:rPr>
          <w:rFonts w:hint="eastAsia"/>
        </w:rPr>
      </w:pPr>
      <w:bookmarkStart w:id="0" w:name="page4"/>
      <w:bookmarkEnd w:id="0"/>
    </w:p>
    <w:p>
      <w:pPr>
        <w:spacing w:line="0" w:lineRule="atLeast"/>
        <w:rPr>
          <w:rFonts w:hint="eastAsia"/>
        </w:rPr>
      </w:pPr>
    </w:p>
    <w:p>
      <w:pPr>
        <w:spacing w:line="0" w:lineRule="atLeast"/>
        <w:rPr>
          <w:rFonts w:hint="eastAsia"/>
        </w:rPr>
      </w:pPr>
    </w:p>
    <w:p>
      <w:pPr>
        <w:spacing w:line="400" w:lineRule="exact"/>
        <w:rPr>
          <w:rFonts w:hint="eastAsia" w:ascii="宋体" w:hAnsi="宋体"/>
          <w:b/>
          <w:sz w:val="24"/>
          <w:szCs w:val="24"/>
        </w:rPr>
      </w:pPr>
      <w:r>
        <w:rPr>
          <w:rFonts w:hint="eastAsia" w:ascii="宋体" w:hAnsi="宋体"/>
          <w:b/>
          <w:sz w:val="24"/>
          <w:szCs w:val="24"/>
        </w:rPr>
        <w:t>附件</w:t>
      </w:r>
      <w:r>
        <w:rPr>
          <w:rFonts w:ascii="宋体" w:hAnsi="宋体"/>
          <w:b/>
          <w:sz w:val="24"/>
          <w:szCs w:val="24"/>
        </w:rPr>
        <w:t>4</w:t>
      </w:r>
      <w:r>
        <w:rPr>
          <w:rFonts w:hint="eastAsia" w:ascii="宋体" w:hAnsi="宋体"/>
          <w:b/>
          <w:sz w:val="24"/>
          <w:szCs w:val="24"/>
        </w:rPr>
        <w:t>：</w:t>
      </w:r>
    </w:p>
    <w:p>
      <w:pPr>
        <w:spacing w:line="400" w:lineRule="exact"/>
        <w:jc w:val="left"/>
        <w:rPr>
          <w:rFonts w:ascii="宋体" w:hAnsi="宋体"/>
          <w:sz w:val="32"/>
          <w:szCs w:val="32"/>
        </w:rPr>
      </w:pPr>
    </w:p>
    <w:p>
      <w:pPr>
        <w:spacing w:line="400" w:lineRule="exact"/>
        <w:jc w:val="center"/>
        <w:rPr>
          <w:rFonts w:hint="eastAsia" w:ascii="宋体" w:hAnsi="宋体"/>
          <w:sz w:val="32"/>
          <w:szCs w:val="32"/>
        </w:rPr>
      </w:pPr>
      <w:r>
        <w:rPr>
          <w:rFonts w:hint="eastAsia" w:ascii="宋体" w:hAnsi="宋体"/>
          <w:sz w:val="32"/>
          <w:szCs w:val="32"/>
        </w:rPr>
        <w:t>法定代表人资格证明书</w:t>
      </w:r>
    </w:p>
    <w:p>
      <w:pPr>
        <w:spacing w:line="400" w:lineRule="exact"/>
        <w:ind w:firstLine="420"/>
        <w:rPr>
          <w:rFonts w:ascii="宋体" w:hAnsi="宋体" w:cs="宋体"/>
          <w:kern w:val="0"/>
          <w:sz w:val="24"/>
          <w:szCs w:val="24"/>
        </w:rPr>
      </w:pPr>
      <w:r>
        <w:rPr>
          <w:rFonts w:hint="eastAsia" w:ascii="宋体" w:hAnsi="宋体" w:cs="宋体"/>
          <w:kern w:val="0"/>
          <w:sz w:val="24"/>
          <w:szCs w:val="24"/>
        </w:rPr>
        <w:t>单位名称：</w:t>
      </w:r>
    </w:p>
    <w:p>
      <w:pPr>
        <w:spacing w:line="400" w:lineRule="exact"/>
        <w:ind w:firstLine="420"/>
        <w:rPr>
          <w:rFonts w:ascii="宋体" w:hAnsi="宋体" w:cs="宋体"/>
          <w:kern w:val="0"/>
          <w:sz w:val="24"/>
          <w:szCs w:val="24"/>
        </w:rPr>
      </w:pPr>
      <w:r>
        <w:rPr>
          <w:rFonts w:hint="eastAsia" w:ascii="宋体" w:hAnsi="宋体" w:cs="宋体"/>
          <w:kern w:val="0"/>
          <w:sz w:val="24"/>
          <w:szCs w:val="24"/>
        </w:rPr>
        <w:t>地址：</w:t>
      </w:r>
    </w:p>
    <w:p>
      <w:pPr>
        <w:spacing w:line="400" w:lineRule="exact"/>
        <w:ind w:firstLine="420"/>
        <w:rPr>
          <w:rFonts w:ascii="宋体" w:hAnsi="宋体" w:cs="宋体"/>
          <w:kern w:val="0"/>
          <w:sz w:val="24"/>
          <w:szCs w:val="24"/>
        </w:rPr>
      </w:pPr>
      <w:r>
        <w:rPr>
          <w:rFonts w:hint="eastAsia" w:ascii="宋体" w:hAnsi="宋体" w:cs="宋体"/>
          <w:kern w:val="0"/>
          <w:sz w:val="24"/>
          <w:szCs w:val="24"/>
        </w:rPr>
        <w:t>姓名：</w:t>
      </w:r>
      <w:r>
        <w:rPr>
          <w:rFonts w:ascii="宋体" w:hAnsi="宋体" w:cs="宋体"/>
          <w:kern w:val="0"/>
          <w:sz w:val="24"/>
          <w:szCs w:val="24"/>
        </w:rPr>
        <w:t xml:space="preserve">           性别：            年龄：              职务：</w:t>
      </w:r>
    </w:p>
    <w:p>
      <w:pPr>
        <w:pStyle w:val="2"/>
        <w:spacing w:line="400" w:lineRule="exact"/>
        <w:rPr>
          <w:rFonts w:ascii="宋体" w:hAnsi="宋体" w:cs="宋体"/>
          <w:kern w:val="0"/>
          <w:sz w:val="24"/>
          <w:szCs w:val="24"/>
        </w:rPr>
      </w:pPr>
    </w:p>
    <w:p>
      <w:pPr>
        <w:spacing w:line="400" w:lineRule="exact"/>
        <w:ind w:firstLine="420"/>
        <w:rPr>
          <w:rFonts w:ascii="宋体" w:hAnsi="宋体" w:cs="宋体"/>
          <w:kern w:val="0"/>
          <w:sz w:val="24"/>
          <w:szCs w:val="24"/>
        </w:rPr>
      </w:pPr>
      <w:r>
        <w:rPr>
          <w:rFonts w:hint="eastAsia" w:ascii="宋体" w:hAnsi="宋体" w:cs="宋体"/>
          <w:kern w:val="0"/>
          <w:sz w:val="24"/>
          <w:szCs w:val="24"/>
        </w:rPr>
        <w:t>系</w:t>
      </w:r>
      <w:r>
        <w:rPr>
          <w:rFonts w:ascii="宋体" w:hAnsi="宋体" w:cs="宋体"/>
          <w:kern w:val="0"/>
          <w:sz w:val="24"/>
          <w:szCs w:val="24"/>
        </w:rPr>
        <w:t xml:space="preserve">                       </w:t>
      </w:r>
      <w:r>
        <w:rPr>
          <w:rFonts w:hint="eastAsia" w:ascii="宋体" w:hAnsi="宋体" w:cs="宋体"/>
          <w:kern w:val="0"/>
          <w:sz w:val="24"/>
          <w:szCs w:val="24"/>
        </w:rPr>
        <w:t>的法定代表人。为施工、竣工和保修</w:t>
      </w:r>
      <w:r>
        <w:rPr>
          <w:rFonts w:ascii="宋体" w:hAnsi="宋体" w:cs="宋体"/>
          <w:kern w:val="0"/>
          <w:sz w:val="24"/>
          <w:szCs w:val="24"/>
        </w:rPr>
        <w:t xml:space="preserve">               </w:t>
      </w:r>
      <w:r>
        <w:rPr>
          <w:rFonts w:hint="eastAsia" w:ascii="宋体" w:hAnsi="宋体" w:cs="宋体"/>
          <w:kern w:val="0"/>
          <w:sz w:val="24"/>
          <w:szCs w:val="24"/>
        </w:rPr>
        <w:t>的工程，签署上述工程的投标文件、进行合同谈判、签署合同和处理与之有关的一切事务。</w:t>
      </w:r>
    </w:p>
    <w:p>
      <w:pPr>
        <w:spacing w:line="400" w:lineRule="exact"/>
        <w:ind w:firstLine="420"/>
        <w:rPr>
          <w:rFonts w:ascii="宋体" w:hAnsi="宋体" w:cs="宋体"/>
          <w:kern w:val="0"/>
          <w:sz w:val="24"/>
          <w:szCs w:val="24"/>
        </w:rPr>
      </w:pPr>
    </w:p>
    <w:p>
      <w:pPr>
        <w:pStyle w:val="2"/>
        <w:spacing w:line="400" w:lineRule="exact"/>
        <w:rPr>
          <w:rFonts w:ascii="宋体" w:hAnsi="宋体" w:cs="宋体"/>
          <w:kern w:val="0"/>
          <w:sz w:val="24"/>
          <w:szCs w:val="24"/>
        </w:rPr>
      </w:pPr>
      <w:r>
        <w:rPr>
          <w:rFonts w:hint="eastAsia" w:ascii="宋体" w:hAnsi="宋体" w:cs="宋体"/>
          <w:kern w:val="0"/>
          <w:sz w:val="24"/>
          <w:szCs w:val="24"/>
        </w:rPr>
        <w:t>特此证明。</w:t>
      </w:r>
    </w:p>
    <w:p>
      <w:pPr>
        <w:spacing w:line="400" w:lineRule="exact"/>
        <w:ind w:firstLine="420"/>
        <w:rPr>
          <w:rFonts w:ascii="宋体" w:hAnsi="宋体" w:cs="宋体"/>
          <w:kern w:val="0"/>
          <w:sz w:val="24"/>
          <w:szCs w:val="24"/>
        </w:rPr>
      </w:pPr>
      <w:r>
        <w:rPr>
          <w:rFonts w:hint="eastAsia" w:ascii="宋体" w:hAnsi="宋体" w:cs="宋体"/>
          <w:kern w:val="0"/>
          <w:sz w:val="24"/>
          <w:szCs w:val="24"/>
        </w:rPr>
        <w:t>授权人：（盖章）</w:t>
      </w:r>
      <w:r>
        <w:rPr>
          <w:rFonts w:ascii="宋体" w:hAnsi="宋体" w:cs="宋体"/>
          <w:kern w:val="0"/>
          <w:sz w:val="24"/>
          <w:szCs w:val="24"/>
        </w:rPr>
        <w:t xml:space="preserve"> </w:t>
      </w:r>
    </w:p>
    <w:p>
      <w:pPr>
        <w:spacing w:line="400" w:lineRule="exact"/>
        <w:ind w:firstLine="5040"/>
        <w:rPr>
          <w:rFonts w:hint="eastAsia" w:ascii="宋体" w:hAnsi="宋体" w:cs="宋体"/>
          <w:kern w:val="0"/>
          <w:sz w:val="24"/>
          <w:szCs w:val="24"/>
        </w:rPr>
      </w:pPr>
    </w:p>
    <w:p>
      <w:pPr>
        <w:spacing w:line="400" w:lineRule="exact"/>
        <w:ind w:firstLine="5040"/>
        <w:rPr>
          <w:rFonts w:ascii="宋体" w:hAnsi="宋体" w:cs="宋体"/>
          <w:kern w:val="0"/>
          <w:sz w:val="24"/>
          <w:szCs w:val="24"/>
        </w:rPr>
      </w:pPr>
      <w:r>
        <w:rPr>
          <w:rFonts w:hint="eastAsia" w:ascii="宋体" w:hAnsi="宋体" w:cs="宋体"/>
          <w:kern w:val="0"/>
          <w:sz w:val="24"/>
          <w:szCs w:val="24"/>
        </w:rPr>
        <w:t>日期：</w:t>
      </w: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p>
      <w:pPr>
        <w:spacing w:line="400" w:lineRule="exact"/>
        <w:ind w:firstLine="420"/>
        <w:jc w:val="center"/>
        <w:rPr>
          <w:rFonts w:ascii="宋体" w:hAnsi="宋体" w:cs="宋体"/>
          <w:kern w:val="0"/>
          <w:sz w:val="24"/>
          <w:szCs w:val="24"/>
        </w:rPr>
      </w:pPr>
    </w:p>
    <w:p>
      <w:pPr>
        <w:spacing w:line="400" w:lineRule="exact"/>
        <w:ind w:firstLine="420"/>
        <w:jc w:val="center"/>
        <w:rPr>
          <w:rFonts w:hint="eastAsia" w:ascii="宋体" w:hAnsi="宋体" w:cs="宋体"/>
          <w:kern w:val="0"/>
          <w:sz w:val="24"/>
          <w:szCs w:val="24"/>
        </w:rPr>
      </w:pPr>
    </w:p>
    <w:p>
      <w:pPr>
        <w:spacing w:line="400" w:lineRule="exact"/>
        <w:ind w:firstLine="420"/>
        <w:jc w:val="center"/>
        <w:rPr>
          <w:rFonts w:hint="eastAsia" w:ascii="宋体" w:hAnsi="宋体" w:cs="宋体"/>
          <w:kern w:val="0"/>
          <w:sz w:val="24"/>
          <w:szCs w:val="24"/>
        </w:rPr>
      </w:pPr>
    </w:p>
    <w:p>
      <w:pPr>
        <w:spacing w:line="400" w:lineRule="exact"/>
        <w:ind w:firstLine="420"/>
        <w:jc w:val="center"/>
        <w:rPr>
          <w:rFonts w:ascii="宋体" w:hAnsi="宋体" w:cs="宋体"/>
          <w:kern w:val="0"/>
          <w:sz w:val="24"/>
          <w:szCs w:val="24"/>
        </w:rPr>
      </w:pPr>
    </w:p>
    <w:p>
      <w:pPr>
        <w:spacing w:line="400" w:lineRule="exact"/>
        <w:jc w:val="center"/>
        <w:rPr>
          <w:rFonts w:ascii="宋体" w:hAnsi="宋体" w:cs="宋体"/>
          <w:kern w:val="0"/>
          <w:sz w:val="24"/>
          <w:szCs w:val="24"/>
        </w:rPr>
      </w:pPr>
      <w:r>
        <w:rPr>
          <w:rFonts w:hint="eastAsia" w:ascii="宋体" w:hAnsi="宋体" w:cs="宋体"/>
          <w:kern w:val="0"/>
          <w:sz w:val="24"/>
          <w:szCs w:val="24"/>
        </w:rPr>
        <w:t>授</w:t>
      </w:r>
      <w:r>
        <w:rPr>
          <w:rFonts w:ascii="宋体" w:hAnsi="宋体" w:cs="宋体"/>
          <w:kern w:val="0"/>
          <w:sz w:val="24"/>
          <w:szCs w:val="24"/>
        </w:rPr>
        <w:t xml:space="preserve">   权   书</w:t>
      </w:r>
    </w:p>
    <w:p>
      <w:pPr>
        <w:spacing w:line="400" w:lineRule="exact"/>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致：</w:t>
      </w:r>
      <w:r>
        <w:rPr>
          <w:rFonts w:ascii="宋体" w:hAnsi="宋体" w:cs="宋体"/>
          <w:kern w:val="0"/>
          <w:sz w:val="24"/>
          <w:szCs w:val="24"/>
        </w:rPr>
        <w:t xml:space="preserve">                          </w:t>
      </w:r>
    </w:p>
    <w:p>
      <w:pPr>
        <w:spacing w:line="400" w:lineRule="exact"/>
        <w:ind w:firstLine="420"/>
        <w:jc w:val="left"/>
        <w:rPr>
          <w:rFonts w:ascii="宋体" w:hAnsi="宋体" w:cs="宋体"/>
          <w:kern w:val="0"/>
          <w:sz w:val="24"/>
          <w:szCs w:val="24"/>
        </w:rPr>
      </w:pPr>
      <w:r>
        <w:rPr>
          <w:rFonts w:hint="eastAsia" w:ascii="宋体" w:hAnsi="宋体" w:cs="宋体"/>
          <w:kern w:val="0"/>
          <w:sz w:val="24"/>
          <w:szCs w:val="24"/>
        </w:rPr>
        <w:t>本授权书委托声明：我</w:t>
      </w:r>
      <w:r>
        <w:rPr>
          <w:rFonts w:ascii="宋体" w:hAnsi="宋体" w:cs="宋体"/>
          <w:kern w:val="0"/>
          <w:sz w:val="24"/>
          <w:szCs w:val="24"/>
        </w:rPr>
        <w:t xml:space="preserve">            </w:t>
      </w:r>
      <w:r>
        <w:rPr>
          <w:rFonts w:hint="eastAsia" w:ascii="宋体" w:hAnsi="宋体" w:cs="宋体"/>
          <w:kern w:val="0"/>
          <w:sz w:val="24"/>
          <w:szCs w:val="24"/>
        </w:rPr>
        <w:t>（姓名）系</w:t>
      </w:r>
      <w:r>
        <w:rPr>
          <w:rFonts w:ascii="宋体" w:hAnsi="宋体" w:cs="宋体"/>
          <w:kern w:val="0"/>
          <w:sz w:val="24"/>
          <w:szCs w:val="24"/>
        </w:rPr>
        <w:t xml:space="preserve">            </w:t>
      </w:r>
      <w:r>
        <w:rPr>
          <w:rFonts w:hint="eastAsia" w:ascii="宋体" w:hAnsi="宋体" w:cs="宋体"/>
          <w:kern w:val="0"/>
          <w:sz w:val="24"/>
          <w:szCs w:val="24"/>
        </w:rPr>
        <w:t>（投标人名称）的法定代表人，现授权委托</w:t>
      </w:r>
      <w:r>
        <w:rPr>
          <w:rFonts w:ascii="宋体" w:hAnsi="宋体" w:cs="宋体"/>
          <w:kern w:val="0"/>
          <w:sz w:val="24"/>
          <w:szCs w:val="24"/>
        </w:rPr>
        <w:t xml:space="preserve">         </w:t>
      </w:r>
      <w:r>
        <w:rPr>
          <w:rFonts w:hint="eastAsia" w:ascii="宋体" w:hAnsi="宋体" w:cs="宋体"/>
          <w:kern w:val="0"/>
          <w:sz w:val="24"/>
          <w:szCs w:val="24"/>
        </w:rPr>
        <w:t>（单位名称）的</w:t>
      </w:r>
      <w:r>
        <w:rPr>
          <w:rFonts w:ascii="宋体" w:hAnsi="宋体" w:cs="宋体"/>
          <w:kern w:val="0"/>
          <w:sz w:val="24"/>
          <w:szCs w:val="24"/>
        </w:rPr>
        <w:t xml:space="preserve">       </w:t>
      </w:r>
      <w:r>
        <w:rPr>
          <w:rFonts w:hint="eastAsia" w:ascii="宋体" w:hAnsi="宋体" w:cs="宋体"/>
          <w:kern w:val="0"/>
          <w:sz w:val="24"/>
          <w:szCs w:val="24"/>
        </w:rPr>
        <w:t>（姓名）为我公司代理人，以本公司的名义参加</w:t>
      </w:r>
      <w:r>
        <w:rPr>
          <w:rFonts w:ascii="宋体" w:hAnsi="宋体" w:cs="宋体"/>
          <w:kern w:val="0"/>
          <w:sz w:val="24"/>
          <w:szCs w:val="24"/>
        </w:rPr>
        <w:t xml:space="preserve">            </w:t>
      </w:r>
      <w:r>
        <w:rPr>
          <w:rFonts w:hint="eastAsia" w:ascii="宋体" w:hAnsi="宋体" w:cs="宋体"/>
          <w:kern w:val="0"/>
          <w:sz w:val="24"/>
          <w:szCs w:val="24"/>
        </w:rPr>
        <w:t>（招标人）的</w:t>
      </w:r>
      <w:r>
        <w:rPr>
          <w:rFonts w:ascii="宋体" w:hAnsi="宋体" w:cs="宋体"/>
          <w:kern w:val="0"/>
          <w:sz w:val="24"/>
          <w:szCs w:val="24"/>
        </w:rPr>
        <w:t xml:space="preserve">         </w:t>
      </w:r>
      <w:r>
        <w:rPr>
          <w:rFonts w:hint="eastAsia" w:ascii="宋体" w:hAnsi="宋体" w:cs="宋体"/>
          <w:kern w:val="0"/>
          <w:sz w:val="24"/>
          <w:szCs w:val="24"/>
        </w:rPr>
        <w:t>工程的投标活动，代理人在开标、评标、合同谈判过程中所签署的一切文件和处理与之有关的一切事务，我均予以承认。</w:t>
      </w:r>
    </w:p>
    <w:p>
      <w:pPr>
        <w:tabs>
          <w:tab w:val="left" w:pos="210"/>
          <w:tab w:val="left" w:pos="7035"/>
        </w:tabs>
        <w:spacing w:line="400" w:lineRule="exact"/>
        <w:ind w:firstLine="420"/>
        <w:rPr>
          <w:rFonts w:ascii="宋体" w:hAnsi="宋体" w:cs="宋体"/>
          <w:kern w:val="0"/>
          <w:sz w:val="24"/>
          <w:szCs w:val="24"/>
        </w:rPr>
      </w:pPr>
      <w:r>
        <w:rPr>
          <w:rFonts w:hint="eastAsia" w:ascii="宋体" w:hAnsi="宋体" w:cs="宋体"/>
          <w:kern w:val="0"/>
          <w:sz w:val="24"/>
          <w:szCs w:val="24"/>
        </w:rPr>
        <w:t>代理人无转委托权。特此委托。</w:t>
      </w:r>
    </w:p>
    <w:p>
      <w:pPr>
        <w:tabs>
          <w:tab w:val="left" w:pos="210"/>
          <w:tab w:val="left" w:pos="7035"/>
        </w:tabs>
        <w:spacing w:line="400" w:lineRule="exact"/>
        <w:ind w:firstLine="420"/>
        <w:rPr>
          <w:rFonts w:ascii="宋体" w:hAnsi="宋体" w:cs="宋体"/>
          <w:kern w:val="0"/>
          <w:sz w:val="24"/>
          <w:szCs w:val="24"/>
        </w:rPr>
      </w:pPr>
      <w:r>
        <w:rPr>
          <w:rFonts w:hint="eastAsia" w:ascii="宋体" w:hAnsi="宋体" w:cs="宋体"/>
          <w:kern w:val="0"/>
          <w:sz w:val="24"/>
          <w:szCs w:val="24"/>
        </w:rPr>
        <w:t>代理人：</w:t>
      </w:r>
      <w:r>
        <w:rPr>
          <w:rFonts w:ascii="宋体" w:hAnsi="宋体" w:cs="宋体"/>
          <w:kern w:val="0"/>
          <w:sz w:val="24"/>
          <w:szCs w:val="24"/>
        </w:rPr>
        <w:t xml:space="preserve">             性别：                 年龄：</w:t>
      </w:r>
    </w:p>
    <w:p>
      <w:pPr>
        <w:tabs>
          <w:tab w:val="left" w:pos="210"/>
          <w:tab w:val="left" w:pos="7035"/>
        </w:tabs>
        <w:spacing w:line="400" w:lineRule="exact"/>
        <w:ind w:firstLine="420"/>
        <w:rPr>
          <w:rFonts w:ascii="宋体" w:hAnsi="宋体" w:cs="宋体"/>
          <w:kern w:val="0"/>
          <w:sz w:val="24"/>
          <w:szCs w:val="24"/>
        </w:rPr>
      </w:pPr>
      <w:r>
        <w:rPr>
          <w:rFonts w:hint="eastAsia" w:ascii="宋体" w:hAnsi="宋体" w:cs="宋体"/>
          <w:kern w:val="0"/>
          <w:sz w:val="24"/>
          <w:szCs w:val="24"/>
        </w:rPr>
        <w:t>单位：</w:t>
      </w:r>
      <w:r>
        <w:rPr>
          <w:rFonts w:ascii="宋体" w:hAnsi="宋体" w:cs="宋体"/>
          <w:kern w:val="0"/>
          <w:sz w:val="24"/>
          <w:szCs w:val="24"/>
        </w:rPr>
        <w:t xml:space="preserve">               部门：                 职务：</w:t>
      </w:r>
    </w:p>
    <w:p>
      <w:pPr>
        <w:tabs>
          <w:tab w:val="left" w:pos="210"/>
          <w:tab w:val="left" w:pos="7035"/>
        </w:tabs>
        <w:spacing w:line="400" w:lineRule="exact"/>
        <w:ind w:firstLine="420"/>
        <w:rPr>
          <w:rFonts w:ascii="宋体" w:hAnsi="宋体" w:cs="宋体"/>
          <w:kern w:val="0"/>
          <w:sz w:val="24"/>
          <w:szCs w:val="24"/>
        </w:rPr>
      </w:pPr>
      <w:r>
        <w:rPr>
          <w:rFonts w:hint="eastAsia" w:ascii="宋体" w:hAnsi="宋体" w:cs="宋体"/>
          <w:kern w:val="0"/>
          <w:sz w:val="24"/>
          <w:szCs w:val="24"/>
        </w:rPr>
        <w:t>投标人：（盖章）</w:t>
      </w:r>
    </w:p>
    <w:p>
      <w:pPr>
        <w:pStyle w:val="2"/>
        <w:spacing w:line="400" w:lineRule="exact"/>
        <w:rPr>
          <w:rFonts w:ascii="宋体" w:hAnsi="宋体" w:cs="宋体"/>
          <w:kern w:val="0"/>
          <w:sz w:val="24"/>
          <w:szCs w:val="24"/>
        </w:rPr>
      </w:pPr>
      <w:r>
        <w:rPr>
          <w:rFonts w:hint="eastAsia" w:ascii="宋体" w:hAnsi="宋体" w:cs="宋体"/>
          <w:kern w:val="0"/>
          <w:sz w:val="24"/>
          <w:szCs w:val="24"/>
        </w:rPr>
        <w:t>法定代表人：（盖章）</w:t>
      </w:r>
    </w:p>
    <w:p>
      <w:pPr>
        <w:spacing w:line="400" w:lineRule="exact"/>
        <w:ind w:firstLine="420"/>
        <w:jc w:val="right"/>
        <w:rPr>
          <w:rFonts w:ascii="宋体" w:hAnsi="宋体" w:cs="宋体"/>
          <w:kern w:val="0"/>
          <w:sz w:val="24"/>
          <w:szCs w:val="24"/>
        </w:rPr>
      </w:pPr>
      <w:r>
        <w:rPr>
          <w:rFonts w:ascii="宋体" w:hAnsi="宋体" w:cs="宋体"/>
          <w:kern w:val="0"/>
          <w:sz w:val="24"/>
          <w:szCs w:val="24"/>
        </w:rPr>
        <w:t xml:space="preserve">                                 </w:t>
      </w:r>
    </w:p>
    <w:p>
      <w:pPr>
        <w:spacing w:line="400" w:lineRule="exact"/>
        <w:ind w:firstLine="420"/>
        <w:jc w:val="right"/>
        <w:rPr>
          <w:rFonts w:ascii="宋体" w:hAnsi="宋体" w:cs="宋体"/>
          <w:kern w:val="0"/>
          <w:sz w:val="24"/>
          <w:szCs w:val="24"/>
        </w:rPr>
      </w:pPr>
    </w:p>
    <w:p>
      <w:pPr>
        <w:spacing w:line="400" w:lineRule="exact"/>
        <w:ind w:firstLine="420"/>
        <w:jc w:val="right"/>
        <w:rPr>
          <w:rFonts w:hint="eastAsia"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日期：</w:t>
      </w: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p>
      <w:pPr>
        <w:spacing w:line="400" w:lineRule="exact"/>
        <w:ind w:firstLine="420"/>
        <w:jc w:val="right"/>
        <w:rPr>
          <w:rFonts w:hint="eastAsia" w:ascii="宋体" w:hAnsi="宋体" w:cs="宋体"/>
          <w:kern w:val="0"/>
          <w:sz w:val="24"/>
          <w:szCs w:val="24"/>
        </w:rPr>
      </w:pPr>
    </w:p>
    <w:p>
      <w:pPr>
        <w:spacing w:line="400" w:lineRule="exact"/>
        <w:ind w:firstLine="420"/>
        <w:jc w:val="right"/>
        <w:rPr>
          <w:rFonts w:hint="eastAsia" w:ascii="宋体" w:hAnsi="宋体" w:cs="宋体"/>
          <w:kern w:val="0"/>
          <w:sz w:val="24"/>
          <w:szCs w:val="24"/>
        </w:rPr>
      </w:pPr>
    </w:p>
    <w:p>
      <w:pPr>
        <w:spacing w:line="0" w:lineRule="atLeast"/>
        <w:rPr>
          <w:rFonts w:hint="eastAsia"/>
        </w:rPr>
      </w:pPr>
    </w:p>
    <w:p>
      <w:bookmarkStart w:id="1" w:name="_GoBack"/>
      <w:bookmarkEnd w:id="1"/>
    </w:p>
    <w:sectPr>
      <w:headerReference r:id="rId3" w:type="default"/>
      <w:pgSz w:w="11907" w:h="16840"/>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A1AEE"/>
    <w:rsid w:val="0D5C6A68"/>
    <w:rsid w:val="14FC79C1"/>
    <w:rsid w:val="64777272"/>
    <w:rsid w:val="682A1AEE"/>
    <w:rsid w:val="75477980"/>
    <w:rsid w:val="760F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2020-07-13T05:40:00Z</dcterms:created>
  <dc:creator>筠心鏡</dc:creator>
  <cp:lastModifiedBy>筠心鏡</cp:lastModifiedBy>
  <dcterms:modified xsi:type="dcterms:W3CDTF">2020-07-13T05:41:12Z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